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A9883" w14:textId="77777777" w:rsidR="00680C0B" w:rsidRPr="00652E92" w:rsidRDefault="00680C0B" w:rsidP="00680C0B">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51E9C376" w14:textId="77777777" w:rsidR="00680C0B" w:rsidRPr="00652E92" w:rsidRDefault="00680C0B" w:rsidP="00680C0B">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FFC78F6" w14:textId="77777777" w:rsidR="00680C0B" w:rsidRPr="00652E92" w:rsidRDefault="00680C0B" w:rsidP="00680C0B">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809</w:t>
      </w:r>
    </w:p>
    <w:p w14:paraId="63B928D7" w14:textId="77777777" w:rsidR="00680C0B" w:rsidRDefault="00680C0B" w:rsidP="00680C0B">
      <w:pPr>
        <w:widowControl w:val="0"/>
        <w:bidi/>
        <w:spacing w:after="0" w:line="252" w:lineRule="auto"/>
        <w:ind w:firstLine="284"/>
        <w:jc w:val="both"/>
        <w:rPr>
          <w:rFonts w:cs="Abz-2 (Badr)"/>
          <w:sz w:val="28"/>
          <w:szCs w:val="28"/>
          <w:rtl/>
          <w:lang w:bidi="fa-IR"/>
        </w:rPr>
      </w:pPr>
      <w:bookmarkStart w:id="0" w:name="_Hlk159096966"/>
    </w:p>
    <w:p w14:paraId="5160B824"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بر اساس آنچه که جلسه قبل گفته شد، معلوم شد که آنچه که از اخبار در بحث حضانت پس از حصول فراق بين پدر و مادر قابل اخذ است، از يک طرف صحيحه فضيل بن يسار و موثقه داود رقی است که به اطلاق خود بيانگر تقدم پدر در حضانت فرزند دختر و پسر در جميع احوال هستند، و از طرف ديگر صحيحه ايّوب بن نوح است که دلالت بر اين دارد که مادر تا هفت سالگی در حضانت فرزند پسر و دختر مقدم است و مقتضای حمل مطلق بر مقيّد اين است که گفته شود: در صورت حصول فراق بين پدر و مادر، حضانت فرزند پسر و دختر تا هفت سالگی با مادر و سپس با پدر خواهد بود.</w:t>
      </w:r>
    </w:p>
    <w:p w14:paraId="06851679"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در نتيجه در بيان حکم حضانت به نحو کلی و در جميع احوال می</w:t>
      </w:r>
      <w:r>
        <w:rPr>
          <w:rFonts w:cs="Abz-2 (Badr)"/>
          <w:sz w:val="28"/>
          <w:szCs w:val="28"/>
          <w:rtl/>
          <w:lang w:bidi="fa-IR"/>
        </w:rPr>
        <w:softHyphen/>
      </w:r>
      <w:r>
        <w:rPr>
          <w:rFonts w:cs="Abz-2 (Badr)" w:hint="cs"/>
          <w:sz w:val="28"/>
          <w:szCs w:val="28"/>
          <w:rtl/>
          <w:lang w:bidi="fa-IR"/>
        </w:rPr>
        <w:t>توان گفت: حضانت فرزندان تا هفت سالگی با مادر و پس از آن با پدر است. البته در صورتی که علقه زوجيت بين پدر و مادر باقی باشد، حضانت فرزندان در دوره شيرخوارگی، به نحو مشترک متعلق به هر دوی آنان است.</w:t>
      </w:r>
    </w:p>
    <w:p w14:paraId="3ABBC7D2"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با توجه به اين که در حکمی که به آن دست يافتيم، تفصيلی از حيث اين که فرزند پسر باشد يا دختر وجود ندارد، در صورتی که فرزند خنثای مشکل باشد نيز حکم حضانت وی همين خواهد بود.</w:t>
      </w:r>
    </w:p>
    <w:p w14:paraId="50ED8F0A"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اما بر اساس قول مشهور که بين حضانت فرزند پسر با دختر تفضيل داده</w:t>
      </w:r>
      <w:r>
        <w:rPr>
          <w:rFonts w:cs="Abz-2 (Badr)"/>
          <w:sz w:val="28"/>
          <w:szCs w:val="28"/>
          <w:rtl/>
          <w:lang w:bidi="fa-IR"/>
        </w:rPr>
        <w:softHyphen/>
      </w:r>
      <w:r>
        <w:rPr>
          <w:rFonts w:cs="Abz-2 (Badr)" w:hint="cs"/>
          <w:sz w:val="28"/>
          <w:szCs w:val="28"/>
          <w:rtl/>
          <w:lang w:bidi="fa-IR"/>
        </w:rPr>
        <w:t>اند، در صورتی که فرزند خنثی باشد، حکم حضانت او پس از دوران شيرخوارگی چگونه خواهد بود؟</w:t>
      </w:r>
    </w:p>
    <w:p w14:paraId="449564F9" w14:textId="77777777" w:rsidR="00680C0B" w:rsidRPr="000066F1" w:rsidRDefault="00680C0B" w:rsidP="00680C0B">
      <w:pPr>
        <w:widowControl w:val="0"/>
        <w:bidi/>
        <w:spacing w:after="0" w:line="254" w:lineRule="auto"/>
        <w:ind w:firstLine="284"/>
        <w:jc w:val="both"/>
        <w:rPr>
          <w:rFonts w:cs="Abz-2 (Badr)"/>
          <w:color w:val="0070C0"/>
          <w:sz w:val="28"/>
          <w:szCs w:val="28"/>
          <w:rtl/>
          <w:lang w:bidi="ar"/>
        </w:rPr>
      </w:pPr>
      <w:r>
        <w:rPr>
          <w:rFonts w:cs="Abz-2 (Badr)" w:hint="cs"/>
          <w:sz w:val="28"/>
          <w:szCs w:val="28"/>
          <w:rtl/>
          <w:lang w:bidi="fa-IR"/>
        </w:rPr>
        <w:t>شهيد ثانی می</w:t>
      </w:r>
      <w:r>
        <w:rPr>
          <w:rFonts w:cs="Abz-2 (Badr)"/>
          <w:sz w:val="28"/>
          <w:szCs w:val="28"/>
          <w:rtl/>
          <w:lang w:bidi="fa-IR"/>
        </w:rPr>
        <w:softHyphen/>
      </w:r>
      <w:r>
        <w:rPr>
          <w:rFonts w:cs="Abz-2 (Badr)" w:hint="cs"/>
          <w:sz w:val="28"/>
          <w:szCs w:val="28"/>
          <w:rtl/>
          <w:lang w:bidi="fa-IR"/>
        </w:rPr>
        <w:t xml:space="preserve">فرمايد: </w:t>
      </w:r>
      <w:r w:rsidRPr="000066F1">
        <w:rPr>
          <w:rFonts w:cs="Abz-2 (Badr)" w:hint="cs"/>
          <w:color w:val="0070C0"/>
          <w:sz w:val="28"/>
          <w:szCs w:val="28"/>
          <w:rtl/>
          <w:lang w:bidi="fa-IR"/>
        </w:rPr>
        <w:t>«</w:t>
      </w:r>
      <w:r w:rsidRPr="000066F1">
        <w:rPr>
          <w:rFonts w:cs="Abz-2 (Badr)"/>
          <w:color w:val="0070C0"/>
          <w:sz w:val="28"/>
          <w:szCs w:val="28"/>
          <w:rtl/>
          <w:lang w:bidi="ar"/>
        </w:rPr>
        <w:t>لو كان الولد خنثى ففي إلحاقه بالذكر أو بالأ</w:t>
      </w:r>
      <w:r w:rsidRPr="000066F1">
        <w:rPr>
          <w:rFonts w:cs="Abz-2 (Badr)" w:hint="cs"/>
          <w:color w:val="0070C0"/>
          <w:sz w:val="28"/>
          <w:szCs w:val="28"/>
          <w:rtl/>
          <w:lang w:bidi="ar"/>
        </w:rPr>
        <w:t>ُ</w:t>
      </w:r>
      <w:r w:rsidRPr="000066F1">
        <w:rPr>
          <w:rFonts w:cs="Abz-2 (Badr)"/>
          <w:color w:val="0070C0"/>
          <w:sz w:val="28"/>
          <w:szCs w:val="28"/>
          <w:rtl/>
          <w:lang w:bidi="ar"/>
        </w:rPr>
        <w:t>نثى قولان</w:t>
      </w:r>
      <w:r w:rsidRPr="000066F1">
        <w:rPr>
          <w:rFonts w:cs="Abz-2 (Badr)" w:hint="cs"/>
          <w:color w:val="0070C0"/>
          <w:sz w:val="28"/>
          <w:szCs w:val="28"/>
          <w:rtl/>
          <w:lang w:bidi="ar"/>
        </w:rPr>
        <w:t>،</w:t>
      </w:r>
      <w:r w:rsidRPr="000066F1">
        <w:rPr>
          <w:rFonts w:cs="Abz-2 (Badr)"/>
          <w:color w:val="0070C0"/>
          <w:sz w:val="28"/>
          <w:szCs w:val="28"/>
          <w:rtl/>
          <w:lang w:bidi="ar"/>
        </w:rPr>
        <w:t xml:space="preserve"> منشؤهما استصحاب ال</w:t>
      </w:r>
      <w:r w:rsidRPr="000066F1">
        <w:rPr>
          <w:rFonts w:cs="Abz-2 (Badr)" w:hint="cs"/>
          <w:color w:val="0070C0"/>
          <w:sz w:val="28"/>
          <w:szCs w:val="28"/>
          <w:rtl/>
          <w:lang w:bidi="ar"/>
        </w:rPr>
        <w:t>أُ</w:t>
      </w:r>
      <w:r w:rsidRPr="000066F1">
        <w:rPr>
          <w:rFonts w:cs="Abz-2 (Badr)"/>
          <w:color w:val="0070C0"/>
          <w:sz w:val="28"/>
          <w:szCs w:val="28"/>
          <w:rtl/>
          <w:lang w:bidi="ar"/>
        </w:rPr>
        <w:t>م</w:t>
      </w:r>
      <w:r w:rsidRPr="000066F1">
        <w:rPr>
          <w:rFonts w:cs="Abz-2 (Badr)" w:hint="cs"/>
          <w:color w:val="0070C0"/>
          <w:sz w:val="28"/>
          <w:szCs w:val="28"/>
          <w:rtl/>
          <w:lang w:bidi="ar"/>
        </w:rPr>
        <w:t>ّ</w:t>
      </w:r>
      <w:r w:rsidRPr="000066F1">
        <w:rPr>
          <w:rFonts w:cs="Abz-2 (Badr)"/>
          <w:color w:val="0070C0"/>
          <w:sz w:val="28"/>
          <w:szCs w:val="28"/>
          <w:rtl/>
          <w:lang w:bidi="ar"/>
        </w:rPr>
        <w:t xml:space="preserve"> حقّ‌ الحضانة الثابت قبل تمام الحولين، للشك</w:t>
      </w:r>
      <w:r w:rsidRPr="000066F1">
        <w:rPr>
          <w:rFonts w:cs="Abz-2 (Badr)" w:hint="cs"/>
          <w:color w:val="0070C0"/>
          <w:sz w:val="28"/>
          <w:szCs w:val="28"/>
          <w:rtl/>
          <w:lang w:bidi="ar"/>
        </w:rPr>
        <w:t>ّ</w:t>
      </w:r>
      <w:r w:rsidRPr="000066F1">
        <w:rPr>
          <w:rFonts w:cs="Abz-2 (Badr)"/>
          <w:color w:val="0070C0"/>
          <w:sz w:val="28"/>
          <w:szCs w:val="28"/>
          <w:rtl/>
          <w:lang w:bidi="ar"/>
        </w:rPr>
        <w:t xml:space="preserve"> في المزيل، إذ هو الذكوريّة ولم يتحقّق</w:t>
      </w:r>
      <w:r w:rsidRPr="000066F1">
        <w:rPr>
          <w:rFonts w:cs="Abz-2 (Badr)" w:hint="cs"/>
          <w:color w:val="0070C0"/>
          <w:sz w:val="28"/>
          <w:szCs w:val="28"/>
          <w:rtl/>
          <w:lang w:bidi="ar"/>
        </w:rPr>
        <w:t>.</w:t>
      </w:r>
      <w:r w:rsidRPr="000066F1">
        <w:rPr>
          <w:rFonts w:cs="Abz-2 (Badr)"/>
          <w:color w:val="0070C0"/>
          <w:sz w:val="28"/>
          <w:szCs w:val="28"/>
          <w:rtl/>
          <w:lang w:bidi="ar"/>
        </w:rPr>
        <w:t xml:space="preserve"> وكون استحقاقها مشروطا</w:t>
      </w:r>
      <w:r w:rsidRPr="000066F1">
        <w:rPr>
          <w:rFonts w:cs="Abz-2 (Badr)" w:hint="cs"/>
          <w:color w:val="0070C0"/>
          <w:sz w:val="28"/>
          <w:szCs w:val="28"/>
          <w:rtl/>
          <w:lang w:bidi="ar"/>
        </w:rPr>
        <w:t>ً</w:t>
      </w:r>
      <w:r w:rsidRPr="000066F1">
        <w:rPr>
          <w:rFonts w:cs="Abz-2 (Badr)"/>
          <w:color w:val="0070C0"/>
          <w:sz w:val="28"/>
          <w:szCs w:val="28"/>
          <w:rtl/>
          <w:lang w:bidi="ar"/>
        </w:rPr>
        <w:t xml:space="preserve"> بالأ</w:t>
      </w:r>
      <w:r w:rsidRPr="000066F1">
        <w:rPr>
          <w:rFonts w:cs="Abz-2 (Badr)" w:hint="cs"/>
          <w:color w:val="0070C0"/>
          <w:sz w:val="28"/>
          <w:szCs w:val="28"/>
          <w:rtl/>
          <w:lang w:bidi="ar"/>
        </w:rPr>
        <w:t>ُ</w:t>
      </w:r>
      <w:r w:rsidRPr="000066F1">
        <w:rPr>
          <w:rFonts w:cs="Abz-2 (Badr)"/>
          <w:color w:val="0070C0"/>
          <w:sz w:val="28"/>
          <w:szCs w:val="28"/>
          <w:rtl/>
          <w:lang w:bidi="ar"/>
        </w:rPr>
        <w:t>نوثيّة ولم يعلم.</w:t>
      </w:r>
    </w:p>
    <w:p w14:paraId="324F8557" w14:textId="77777777" w:rsidR="00680C0B" w:rsidRPr="000066F1" w:rsidRDefault="00680C0B" w:rsidP="00680C0B">
      <w:pPr>
        <w:widowControl w:val="0"/>
        <w:bidi/>
        <w:spacing w:after="0" w:line="254" w:lineRule="auto"/>
        <w:ind w:firstLine="284"/>
        <w:jc w:val="both"/>
        <w:rPr>
          <w:rFonts w:cs="Abz-2 (Badr)"/>
          <w:color w:val="0070C0"/>
          <w:sz w:val="28"/>
          <w:szCs w:val="28"/>
          <w:rtl/>
          <w:lang w:bidi="fa-IR"/>
        </w:rPr>
      </w:pPr>
      <w:r w:rsidRPr="000066F1">
        <w:rPr>
          <w:rFonts w:cs="Abz-2 (Badr)"/>
          <w:color w:val="0070C0"/>
          <w:sz w:val="28"/>
          <w:szCs w:val="28"/>
          <w:rtl/>
          <w:lang w:bidi="ar"/>
        </w:rPr>
        <w:t>والأقوى إلحاقه بالأ</w:t>
      </w:r>
      <w:r w:rsidRPr="000066F1">
        <w:rPr>
          <w:rFonts w:cs="Abz-2 (Badr)" w:hint="cs"/>
          <w:color w:val="0070C0"/>
          <w:sz w:val="28"/>
          <w:szCs w:val="28"/>
          <w:rtl/>
          <w:lang w:bidi="ar"/>
        </w:rPr>
        <w:t>ُ</w:t>
      </w:r>
      <w:r w:rsidRPr="000066F1">
        <w:rPr>
          <w:rFonts w:cs="Abz-2 (Badr)"/>
          <w:color w:val="0070C0"/>
          <w:sz w:val="28"/>
          <w:szCs w:val="28"/>
          <w:rtl/>
          <w:lang w:bidi="ar"/>
        </w:rPr>
        <w:t xml:space="preserve">نثى، لوجوب جريان أحكامها عليه من الستر ونحوه، ودخوله في عموم الأخبار الدالّة على </w:t>
      </w:r>
      <w:r w:rsidRPr="000066F1">
        <w:rPr>
          <w:rFonts w:cs="Abz-2 (Badr)"/>
          <w:color w:val="0070C0"/>
          <w:sz w:val="28"/>
          <w:szCs w:val="28"/>
          <w:rtl/>
          <w:lang w:bidi="ar"/>
        </w:rPr>
        <w:lastRenderedPageBreak/>
        <w:t>استحقاقها الولد مطلقا</w:t>
      </w:r>
      <w:r w:rsidRPr="000066F1">
        <w:rPr>
          <w:rFonts w:cs="Abz-2 (Badr)" w:hint="cs"/>
          <w:color w:val="0070C0"/>
          <w:sz w:val="28"/>
          <w:szCs w:val="28"/>
          <w:rtl/>
          <w:lang w:bidi="ar"/>
        </w:rPr>
        <w:t>ً</w:t>
      </w:r>
      <w:r w:rsidRPr="000066F1">
        <w:rPr>
          <w:rFonts w:cs="Abz-2 (Badr)"/>
          <w:color w:val="0070C0"/>
          <w:sz w:val="28"/>
          <w:szCs w:val="28"/>
          <w:rtl/>
          <w:lang w:bidi="ar"/>
        </w:rPr>
        <w:t>، خرج منه الذكر لمناسبة تربيته وتأديبه فيبقى الباقي.</w:t>
      </w:r>
      <w:r w:rsidRPr="000066F1">
        <w:rPr>
          <w:rFonts w:cs="Abz-2 (Badr)" w:hint="cs"/>
          <w:color w:val="0070C0"/>
          <w:sz w:val="28"/>
          <w:szCs w:val="28"/>
          <w:rtl/>
          <w:lang w:bidi="ar"/>
        </w:rPr>
        <w:t>»</w:t>
      </w:r>
      <w:r>
        <w:rPr>
          <w:rStyle w:val="FootnoteReference"/>
          <w:rFonts w:cs="Abz-2 (Badr)"/>
          <w:rtl/>
          <w:lang w:bidi="ar"/>
        </w:rPr>
        <w:footnoteReference w:id="1"/>
      </w:r>
    </w:p>
    <w:p w14:paraId="2FBB2F20"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اما اشکال اين مطلب اين است که اولاً: وجوب جريان احکام انثی بر خنثی به نحو مطلق محل کلام است، مگر در مواردی که قاعده اشتغال اقتضای چنين امری را داشته باشد، مثل ستر در حال نماز.</w:t>
      </w:r>
    </w:p>
    <w:p w14:paraId="3B0BB445" w14:textId="77777777" w:rsidR="00680C0B" w:rsidRDefault="00680C0B" w:rsidP="00680C0B">
      <w:pPr>
        <w:widowControl w:val="0"/>
        <w:bidi/>
        <w:spacing w:after="0" w:line="254" w:lineRule="auto"/>
        <w:ind w:firstLine="284"/>
        <w:jc w:val="both"/>
        <w:rPr>
          <w:rFonts w:cs="Abz-2 (Badr)"/>
          <w:sz w:val="28"/>
          <w:szCs w:val="28"/>
          <w:rtl/>
          <w:lang w:bidi="fa-IR"/>
        </w:rPr>
      </w:pPr>
      <w:r>
        <w:rPr>
          <w:rFonts w:cs="Abz-2 (Badr)" w:hint="cs"/>
          <w:sz w:val="28"/>
          <w:szCs w:val="28"/>
          <w:rtl/>
          <w:lang w:bidi="fa-IR"/>
        </w:rPr>
        <w:t>بلکه در موارد علم اجمالی بر خنثی واجب است که مراعات احکام هر دو جنس را بکند، مثل اين که به غير وجه و کفّين زنان اجنبيه نظر نکند و خود را از مردام اجنبی بپوشاند.</w:t>
      </w:r>
    </w:p>
    <w:p w14:paraId="4B0F8625"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و ثانياً: خبری که به عموم خود دلالت بر استحقاق مادر برای حضانت فرزند خود بعد از دوران شير خوارگی داشته باشد بجز مرسله منقری و صحيحه ايّوب بن نوح وجود ندارد که اولی غير معتبر بوده و دومی نيز بعد از اين که فرض بر حمل آن بر خصوص دختر گذاشته شده باشد، وجهی برای شمول آن بر خنثی وجود ندارد، زيرا تمسّک به آن در خنثای مشکل از باب تمسّک به دليل در شبهه مصداقيه موضوع آن خواهد بود.</w:t>
      </w:r>
    </w:p>
    <w:p w14:paraId="2D9A136F"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البته چنانچه خنثای مشکل طبيعت ثالثه دانسته شود، مدعای شهيد ثانی وجه خواهد داشت، اما اين مبنا مورد قبول اصحاب نيست.</w:t>
      </w:r>
    </w:p>
    <w:p w14:paraId="0AE84293" w14:textId="77777777" w:rsidR="00680C0B" w:rsidRPr="002D2C67" w:rsidRDefault="00680C0B" w:rsidP="00680C0B">
      <w:pPr>
        <w:widowControl w:val="0"/>
        <w:bidi/>
        <w:spacing w:after="0" w:line="252" w:lineRule="auto"/>
        <w:ind w:firstLine="284"/>
        <w:jc w:val="both"/>
        <w:rPr>
          <w:rFonts w:cs="Abz-2 (Badr)"/>
          <w:color w:val="0070C0"/>
          <w:sz w:val="28"/>
          <w:szCs w:val="28"/>
          <w:rtl/>
          <w:lang w:bidi="fa-IR"/>
        </w:rPr>
      </w:pPr>
      <w:r>
        <w:rPr>
          <w:rFonts w:cs="Abz-2 (Badr)" w:hint="cs"/>
          <w:sz w:val="28"/>
          <w:szCs w:val="28"/>
          <w:rtl/>
          <w:lang w:bidi="fa-IR"/>
        </w:rPr>
        <w:t xml:space="preserve">فلذا صاحب جواهر پس از ايراد در مدعای شهيد ثانی، در خصوص مسأله فرموده است: </w:t>
      </w:r>
      <w:r w:rsidRPr="002D2C67">
        <w:rPr>
          <w:rFonts w:cs="Abz-2 (Badr)" w:hint="cs"/>
          <w:color w:val="0070C0"/>
          <w:sz w:val="28"/>
          <w:szCs w:val="28"/>
          <w:rtl/>
          <w:lang w:bidi="fa-IR"/>
        </w:rPr>
        <w:t>«</w:t>
      </w:r>
      <w:r w:rsidRPr="002D2C67">
        <w:rPr>
          <w:rFonts w:cs="Abz-2 (Badr)"/>
          <w:color w:val="0070C0"/>
          <w:sz w:val="28"/>
          <w:szCs w:val="28"/>
          <w:rtl/>
          <w:lang w:bidi="ar"/>
        </w:rPr>
        <w:t>المت</w:t>
      </w:r>
      <w:r w:rsidRPr="002D2C67">
        <w:rPr>
          <w:rFonts w:cs="Abz-2 (Badr)" w:hint="cs"/>
          <w:color w:val="0070C0"/>
          <w:sz w:val="28"/>
          <w:szCs w:val="28"/>
          <w:rtl/>
          <w:lang w:bidi="ar"/>
        </w:rPr>
        <w:t>ّ</w:t>
      </w:r>
      <w:r w:rsidRPr="002D2C67">
        <w:rPr>
          <w:rFonts w:cs="Abz-2 (Badr)"/>
          <w:color w:val="0070C0"/>
          <w:sz w:val="28"/>
          <w:szCs w:val="28"/>
          <w:rtl/>
          <w:lang w:bidi="ar"/>
        </w:rPr>
        <w:t>جه حينئذ</w:t>
      </w:r>
      <w:r w:rsidRPr="002D2C67">
        <w:rPr>
          <w:rFonts w:cs="Abz-2 (Badr)" w:hint="cs"/>
          <w:color w:val="0070C0"/>
          <w:sz w:val="28"/>
          <w:szCs w:val="28"/>
          <w:rtl/>
          <w:lang w:bidi="ar"/>
        </w:rPr>
        <w:t>ٍ</w:t>
      </w:r>
      <w:r w:rsidRPr="002D2C67">
        <w:rPr>
          <w:rFonts w:cs="Abz-2 (Badr)"/>
          <w:color w:val="0070C0"/>
          <w:sz w:val="28"/>
          <w:szCs w:val="28"/>
          <w:rtl/>
          <w:lang w:bidi="ar"/>
        </w:rPr>
        <w:t xml:space="preserve"> الرجوع إلى إطلاق ولاية الأب على ولده المقتصر في تقييده على خصوص الحولين في حضانة الذكر والسبع في حضانة الأ</w:t>
      </w:r>
      <w:r w:rsidRPr="002D2C67">
        <w:rPr>
          <w:rFonts w:cs="Abz-2 (Badr)" w:hint="cs"/>
          <w:color w:val="0070C0"/>
          <w:sz w:val="28"/>
          <w:szCs w:val="28"/>
          <w:rtl/>
          <w:lang w:bidi="ar"/>
        </w:rPr>
        <w:t>ُ</w:t>
      </w:r>
      <w:r w:rsidRPr="002D2C67">
        <w:rPr>
          <w:rFonts w:cs="Abz-2 (Badr)"/>
          <w:color w:val="0070C0"/>
          <w:sz w:val="28"/>
          <w:szCs w:val="28"/>
          <w:rtl/>
          <w:lang w:bidi="ar"/>
        </w:rPr>
        <w:t>نثى، فيبقى الخنثى في غير القدر المشترك</w:t>
      </w:r>
      <w:r w:rsidRPr="002D2C67">
        <w:rPr>
          <w:rFonts w:cs="Abz-2 (Badr)" w:hint="cs"/>
          <w:color w:val="0070C0"/>
          <w:sz w:val="28"/>
          <w:szCs w:val="28"/>
          <w:rtl/>
          <w:lang w:bidi="ar"/>
        </w:rPr>
        <w:t xml:space="preserve"> ـ</w:t>
      </w:r>
      <w:r w:rsidRPr="002D2C67">
        <w:rPr>
          <w:rFonts w:cs="Abz-2 (Badr)"/>
          <w:color w:val="0070C0"/>
          <w:sz w:val="28"/>
          <w:szCs w:val="28"/>
          <w:rtl/>
          <w:lang w:bidi="ar"/>
        </w:rPr>
        <w:t xml:space="preserve"> أي</w:t>
      </w:r>
      <w:r w:rsidRPr="002D2C67">
        <w:rPr>
          <w:rFonts w:cs="Abz-2 (Badr)" w:hint="cs"/>
          <w:color w:val="0070C0"/>
          <w:sz w:val="28"/>
          <w:szCs w:val="28"/>
          <w:rtl/>
          <w:lang w:bidi="ar"/>
        </w:rPr>
        <w:t>:</w:t>
      </w:r>
      <w:r w:rsidRPr="002D2C67">
        <w:rPr>
          <w:rFonts w:cs="Abz-2 (Badr)"/>
          <w:color w:val="0070C0"/>
          <w:sz w:val="28"/>
          <w:szCs w:val="28"/>
          <w:rtl/>
          <w:lang w:bidi="ar"/>
        </w:rPr>
        <w:t xml:space="preserve"> الحولين</w:t>
      </w:r>
      <w:r w:rsidRPr="002D2C67">
        <w:rPr>
          <w:rFonts w:cs="Abz-2 (Badr)" w:hint="cs"/>
          <w:color w:val="0070C0"/>
          <w:sz w:val="28"/>
          <w:szCs w:val="28"/>
          <w:rtl/>
          <w:lang w:bidi="ar"/>
        </w:rPr>
        <w:t xml:space="preserve"> ـ</w:t>
      </w:r>
      <w:r w:rsidRPr="002D2C67">
        <w:rPr>
          <w:rFonts w:cs="Abz-2 (Badr)"/>
          <w:color w:val="0070C0"/>
          <w:sz w:val="28"/>
          <w:szCs w:val="28"/>
          <w:rtl/>
          <w:lang w:bidi="ar"/>
        </w:rPr>
        <w:t xml:space="preserve"> تحت الإطلاق.</w:t>
      </w:r>
      <w:r w:rsidRPr="002D2C67">
        <w:rPr>
          <w:rFonts w:cs="Abz-2 (Badr)" w:hint="cs"/>
          <w:color w:val="0070C0"/>
          <w:sz w:val="28"/>
          <w:szCs w:val="28"/>
          <w:rtl/>
          <w:lang w:bidi="ar"/>
        </w:rPr>
        <w:t>»</w:t>
      </w:r>
      <w:r>
        <w:rPr>
          <w:rStyle w:val="FootnoteReference"/>
          <w:rFonts w:cs="Abz-2 (Badr)"/>
          <w:rtl/>
          <w:lang w:bidi="ar"/>
        </w:rPr>
        <w:footnoteReference w:id="2"/>
      </w:r>
    </w:p>
    <w:p w14:paraId="0B4EAC31"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اما صحّت اين مدعا مبتنی بر اين است که خنثی طبيعت ثالثه دانسته شود که در اين صورت همان گونه که گفتيم، مدعای شهيد ثانی وجه پيدا خواهد کرد و وجهی برای تمسّک به اطلاق ولايت پدر وجود نخواهد داشت، زيرا تمسّک به آن در فرضی که خنثی در واقع دختر يا پسر باشد، تمسّک به اطلاق دليل در شبهه مصداقيه موضوع آن است.</w:t>
      </w:r>
    </w:p>
    <w:p w14:paraId="64307C69"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 xml:space="preserve">البته صاحب جواهر در رد مدعای شهيد ثانی فرموده است که تمسّک به عموم صحيحه ايّوب بن نوح در تعارض با </w:t>
      </w:r>
      <w:r>
        <w:rPr>
          <w:rFonts w:cs="Abz-2 (Badr)" w:hint="cs"/>
          <w:sz w:val="28"/>
          <w:szCs w:val="28"/>
          <w:rtl/>
          <w:lang w:bidi="fa-IR"/>
        </w:rPr>
        <w:lastRenderedPageBreak/>
        <w:t>تمسّک به عموم اخباری است که حضانت مادر را معلّق بر حصول فطام کرده</w:t>
      </w:r>
      <w:r>
        <w:rPr>
          <w:rFonts w:cs="Abz-2 (Badr)"/>
          <w:sz w:val="28"/>
          <w:szCs w:val="28"/>
          <w:rtl/>
          <w:lang w:bidi="fa-IR"/>
        </w:rPr>
        <w:softHyphen/>
      </w:r>
      <w:r>
        <w:rPr>
          <w:rFonts w:cs="Abz-2 (Badr)" w:hint="cs"/>
          <w:sz w:val="28"/>
          <w:szCs w:val="28"/>
          <w:rtl/>
          <w:lang w:bidi="fa-IR"/>
        </w:rPr>
        <w:t>اند.</w:t>
      </w:r>
      <w:r>
        <w:rPr>
          <w:rStyle w:val="FootnoteReference"/>
          <w:rFonts w:cs="Abz-2 (Badr)"/>
          <w:rtl/>
          <w:lang w:bidi="ar"/>
        </w:rPr>
        <w:footnoteReference w:id="3"/>
      </w:r>
    </w:p>
    <w:p w14:paraId="3321B338"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اما همان گونه که گذشت، اخباری که در خصوص حق مادر در دوره رضاع وارد شده</w:t>
      </w:r>
      <w:r>
        <w:rPr>
          <w:rFonts w:cs="Abz-2 (Badr)"/>
          <w:sz w:val="28"/>
          <w:szCs w:val="28"/>
          <w:rtl/>
          <w:lang w:bidi="fa-IR"/>
        </w:rPr>
        <w:softHyphen/>
      </w:r>
      <w:r>
        <w:rPr>
          <w:rFonts w:cs="Abz-2 (Badr)" w:hint="cs"/>
          <w:sz w:val="28"/>
          <w:szCs w:val="28"/>
          <w:rtl/>
          <w:lang w:bidi="fa-IR"/>
        </w:rPr>
        <w:t>اند، ارتباطی به مسأله حضانت نداشته و فقط بيانگر حق مادر در ارضاع هستند.</w:t>
      </w:r>
    </w:p>
    <w:p w14:paraId="2EE5347A" w14:textId="77777777" w:rsidR="00680C0B" w:rsidRDefault="00680C0B" w:rsidP="00680C0B">
      <w:pPr>
        <w:widowControl w:val="0"/>
        <w:bidi/>
        <w:spacing w:after="0" w:line="252" w:lineRule="auto"/>
        <w:ind w:firstLine="284"/>
        <w:jc w:val="both"/>
        <w:rPr>
          <w:rFonts w:cs="Abz-2 (Badr)"/>
          <w:sz w:val="28"/>
          <w:szCs w:val="28"/>
          <w:rtl/>
          <w:lang w:bidi="fa-IR"/>
        </w:rPr>
      </w:pPr>
      <w:r>
        <w:rPr>
          <w:rFonts w:cs="Abz-2 (Badr)" w:hint="cs"/>
          <w:sz w:val="28"/>
          <w:szCs w:val="28"/>
          <w:rtl/>
          <w:lang w:bidi="fa-IR"/>
        </w:rPr>
        <w:t>استصحاب حضانت مادر پس از دوران شيرخوارگی نيز که در کلامت شهيد ثانی گذشت، در اين مقام امکان</w:t>
      </w:r>
      <w:r>
        <w:rPr>
          <w:rFonts w:cs="Abz-2 (Badr)"/>
          <w:sz w:val="28"/>
          <w:szCs w:val="28"/>
          <w:rtl/>
          <w:lang w:bidi="fa-IR"/>
        </w:rPr>
        <w:softHyphen/>
      </w:r>
      <w:r>
        <w:rPr>
          <w:rFonts w:cs="Abz-2 (Badr)" w:hint="cs"/>
          <w:sz w:val="28"/>
          <w:szCs w:val="28"/>
          <w:rtl/>
          <w:lang w:bidi="fa-IR"/>
        </w:rPr>
        <w:t>پذير نيست، چون موضوع حضانت مادر در اين مدّت بنابر قول مشهور، فرزند شيرخوار است و پس از اتمام اين دوران، موضوع تبدّل پيدا کرده و امکان استصحاب وجود نخواهد داشت.</w:t>
      </w:r>
    </w:p>
    <w:p w14:paraId="2A1AEA96" w14:textId="77777777" w:rsidR="00680C0B" w:rsidRPr="006F0B90" w:rsidRDefault="00680C0B" w:rsidP="00680C0B">
      <w:pPr>
        <w:widowControl w:val="0"/>
        <w:bidi/>
        <w:spacing w:after="0" w:line="252" w:lineRule="auto"/>
        <w:ind w:firstLine="284"/>
        <w:jc w:val="both"/>
        <w:rPr>
          <w:rFonts w:cs="Abz-2 (Badr)"/>
          <w:spacing w:val="-4"/>
          <w:sz w:val="28"/>
          <w:szCs w:val="28"/>
          <w:rtl/>
          <w:lang w:bidi="fa-IR"/>
        </w:rPr>
      </w:pPr>
      <w:r w:rsidRPr="006F0B90">
        <w:rPr>
          <w:rFonts w:cs="Abz-2 (Badr)" w:hint="cs"/>
          <w:spacing w:val="-4"/>
          <w:sz w:val="28"/>
          <w:szCs w:val="28"/>
          <w:rtl/>
          <w:lang w:bidi="fa-IR"/>
        </w:rPr>
        <w:t>بنابر اين مقتضای تحقيق ـ بنابر فرض قبول مبنای مشهور در بحث حضانت مبنی بر تفصيل بين پسر و دختر بعد از دوره شيرخوارگی ـ اين است که بين آنان در حضانت فرزند خنثی پس از دوره رضاع تا هفت سالگی، مصالحه صورت بپذيرد.</w:t>
      </w:r>
    </w:p>
    <w:p w14:paraId="65A65428" w14:textId="77777777" w:rsidR="00680C0B" w:rsidRPr="00643682" w:rsidRDefault="00680C0B" w:rsidP="00680C0B">
      <w:pPr>
        <w:widowControl w:val="0"/>
        <w:bidi/>
        <w:spacing w:after="0" w:line="252" w:lineRule="auto"/>
        <w:ind w:firstLine="284"/>
        <w:jc w:val="both"/>
        <w:rPr>
          <w:rFonts w:cs="Abz-2 (Badr)"/>
          <w:color w:val="C45911" w:themeColor="accent2" w:themeShade="BF"/>
          <w:sz w:val="28"/>
          <w:szCs w:val="28"/>
          <w:lang w:bidi="fa-IR"/>
        </w:rPr>
      </w:pPr>
      <w:r w:rsidRPr="00643682">
        <w:rPr>
          <w:rFonts w:cs="Abz-2 (Badr)" w:hint="cs"/>
          <w:color w:val="C45911" w:themeColor="accent2" w:themeShade="BF"/>
          <w:sz w:val="28"/>
          <w:szCs w:val="28"/>
          <w:rtl/>
          <w:lang w:bidi="fa-IR"/>
        </w:rPr>
        <w:t>مقام چهارم: امکان اسقاط حق حضانت</w:t>
      </w:r>
    </w:p>
    <w:p w14:paraId="38F7704D" w14:textId="77777777" w:rsidR="00680C0B" w:rsidRDefault="00680C0B" w:rsidP="00680C0B">
      <w:pPr>
        <w:pStyle w:val="NormalWeb"/>
        <w:widowControl w:val="0"/>
        <w:bidi/>
        <w:spacing w:before="0" w:beforeAutospacing="0" w:after="0" w:afterAutospacing="0" w:line="252" w:lineRule="auto"/>
        <w:ind w:firstLine="284"/>
        <w:jc w:val="both"/>
        <w:rPr>
          <w:rFonts w:cs="Abz-2 (Badr)"/>
          <w:sz w:val="28"/>
          <w:szCs w:val="28"/>
          <w:rtl/>
          <w:lang w:bidi="fa-IR"/>
        </w:rPr>
      </w:pPr>
      <w:r>
        <w:rPr>
          <w:rFonts w:cs="Abz-2 (Badr)" w:hint="cs"/>
          <w:sz w:val="28"/>
          <w:szCs w:val="28"/>
          <w:rtl/>
          <w:lang w:bidi="fa-IR"/>
        </w:rPr>
        <w:t>آيا آنچه که گذشت مبنی بر اين که حضانت کودک تا هفت سالگی بر عهده مادر و پس از آن بر عهده پدر است، به گونه</w:t>
      </w:r>
      <w:r>
        <w:rPr>
          <w:rFonts w:cs="Abz-2 (Badr)"/>
          <w:sz w:val="28"/>
          <w:szCs w:val="28"/>
          <w:rtl/>
          <w:lang w:bidi="fa-IR"/>
        </w:rPr>
        <w:softHyphen/>
      </w:r>
      <w:r>
        <w:rPr>
          <w:rFonts w:cs="Abz-2 (Badr)" w:hint="cs"/>
          <w:sz w:val="28"/>
          <w:szCs w:val="28"/>
          <w:rtl/>
          <w:lang w:bidi="fa-IR"/>
        </w:rPr>
        <w:t>ای است که بر پدر يا مادر حضانت فرزند واجب باشد و امکان اسقاط اين حق را نداشته باشند، يا اين که امکان اسقاط آن وجود دارد؟</w:t>
      </w:r>
    </w:p>
    <w:p w14:paraId="079C17C9" w14:textId="77777777" w:rsidR="00680C0B" w:rsidRDefault="00680C0B" w:rsidP="00680C0B">
      <w:pPr>
        <w:pStyle w:val="NormalWeb"/>
        <w:widowControl w:val="0"/>
        <w:bidi/>
        <w:spacing w:before="0" w:beforeAutospacing="0" w:after="0" w:afterAutospacing="0" w:line="254" w:lineRule="auto"/>
        <w:ind w:firstLine="284"/>
        <w:jc w:val="both"/>
        <w:rPr>
          <w:rFonts w:cs="Abz-2 (Badr)"/>
          <w:color w:val="0070C0"/>
          <w:sz w:val="28"/>
          <w:szCs w:val="28"/>
          <w:rtl/>
        </w:rPr>
      </w:pPr>
      <w:r>
        <w:rPr>
          <w:rFonts w:cs="Abz-2 (Badr)" w:hint="cs"/>
          <w:sz w:val="28"/>
          <w:szCs w:val="28"/>
          <w:rtl/>
          <w:lang w:bidi="fa-IR"/>
        </w:rPr>
        <w:t>شهيد در قواعد می</w:t>
      </w:r>
      <w:r>
        <w:rPr>
          <w:rFonts w:cs="Abz-2 (Badr)"/>
          <w:sz w:val="28"/>
          <w:szCs w:val="28"/>
          <w:rtl/>
          <w:lang w:bidi="fa-IR"/>
        </w:rPr>
        <w:softHyphen/>
      </w:r>
      <w:r>
        <w:rPr>
          <w:rFonts w:cs="Abz-2 (Badr)" w:hint="cs"/>
          <w:sz w:val="28"/>
          <w:szCs w:val="28"/>
          <w:rtl/>
          <w:lang w:bidi="fa-IR"/>
        </w:rPr>
        <w:t xml:space="preserve">فرمايد: </w:t>
      </w:r>
      <w:r w:rsidRPr="00E5073A">
        <w:rPr>
          <w:rFonts w:cs="Abz-2 (Badr)" w:hint="cs"/>
          <w:color w:val="0070C0"/>
          <w:sz w:val="28"/>
          <w:szCs w:val="28"/>
          <w:rtl/>
          <w:lang w:bidi="fa-IR"/>
        </w:rPr>
        <w:t>«</w:t>
      </w:r>
      <w:r w:rsidRPr="00E5073A">
        <w:rPr>
          <w:rFonts w:cs="Abz-2 (Badr)"/>
          <w:color w:val="0070C0"/>
          <w:sz w:val="28"/>
          <w:szCs w:val="28"/>
          <w:rtl/>
        </w:rPr>
        <w:t>لو امتنعت الأ</w:t>
      </w:r>
      <w:r w:rsidRPr="00E5073A">
        <w:rPr>
          <w:rFonts w:cs="Abz-2 (Badr)" w:hint="cs"/>
          <w:color w:val="0070C0"/>
          <w:sz w:val="28"/>
          <w:szCs w:val="28"/>
          <w:rtl/>
        </w:rPr>
        <w:t>ُ</w:t>
      </w:r>
      <w:r w:rsidRPr="00E5073A">
        <w:rPr>
          <w:rFonts w:cs="Abz-2 (Badr)"/>
          <w:color w:val="0070C0"/>
          <w:sz w:val="28"/>
          <w:szCs w:val="28"/>
          <w:rtl/>
        </w:rPr>
        <w:t>م</w:t>
      </w:r>
      <w:r w:rsidRPr="00E5073A">
        <w:rPr>
          <w:rFonts w:cs="Abz-2 (Badr)" w:hint="cs"/>
          <w:color w:val="0070C0"/>
          <w:sz w:val="28"/>
          <w:szCs w:val="28"/>
          <w:rtl/>
        </w:rPr>
        <w:t>ّ</w:t>
      </w:r>
      <w:r w:rsidRPr="00E5073A">
        <w:rPr>
          <w:rFonts w:cs="Abz-2 (Badr)"/>
          <w:color w:val="0070C0"/>
          <w:sz w:val="28"/>
          <w:szCs w:val="28"/>
          <w:rtl/>
        </w:rPr>
        <w:t xml:space="preserve"> من الحضانة</w:t>
      </w:r>
      <w:r w:rsidRPr="00E5073A">
        <w:rPr>
          <w:rFonts w:cs="Abz-2 (Badr)" w:hint="cs"/>
          <w:color w:val="0070C0"/>
          <w:sz w:val="28"/>
          <w:szCs w:val="28"/>
          <w:rtl/>
        </w:rPr>
        <w:t>،</w:t>
      </w:r>
      <w:r w:rsidRPr="00E5073A">
        <w:rPr>
          <w:rFonts w:cs="Abz-2 (Badr)"/>
          <w:color w:val="0070C0"/>
          <w:sz w:val="28"/>
          <w:szCs w:val="28"/>
          <w:rtl/>
        </w:rPr>
        <w:t xml:space="preserve"> صار الأب أولى، ولو امتنعا معا</w:t>
      </w:r>
      <w:r w:rsidRPr="00E5073A">
        <w:rPr>
          <w:rFonts w:cs="Abz-2 (Badr)" w:hint="cs"/>
          <w:color w:val="0070C0"/>
          <w:sz w:val="28"/>
          <w:szCs w:val="28"/>
          <w:rtl/>
        </w:rPr>
        <w:t>ً</w:t>
      </w:r>
      <w:r w:rsidRPr="00E5073A">
        <w:rPr>
          <w:rFonts w:cs="Abz-2 (Badr)"/>
          <w:color w:val="0070C0"/>
          <w:sz w:val="28"/>
          <w:szCs w:val="28"/>
          <w:rtl/>
        </w:rPr>
        <w:t>، فالظاهر إجبار الأب</w:t>
      </w:r>
      <w:r w:rsidRPr="00E5073A">
        <w:rPr>
          <w:rFonts w:cs="Abz-2 (Badr)" w:hint="cs"/>
          <w:color w:val="0070C0"/>
          <w:sz w:val="28"/>
          <w:szCs w:val="28"/>
          <w:rtl/>
        </w:rPr>
        <w:t>.»</w:t>
      </w:r>
      <w:r>
        <w:rPr>
          <w:rStyle w:val="FootnoteReference"/>
          <w:rFonts w:cs="Abz-2 (Badr)"/>
          <w:rtl/>
          <w:lang w:bidi="ar"/>
        </w:rPr>
        <w:footnoteReference w:id="4"/>
      </w:r>
    </w:p>
    <w:p w14:paraId="5372608A" w14:textId="342EC46C" w:rsidR="00680C0B" w:rsidRPr="000B1B00" w:rsidRDefault="00680C0B" w:rsidP="002310B4">
      <w:pPr>
        <w:pStyle w:val="NormalWeb"/>
        <w:widowControl w:val="0"/>
        <w:bidi/>
        <w:spacing w:before="0" w:beforeAutospacing="0" w:after="0" w:afterAutospacing="0" w:line="254" w:lineRule="auto"/>
        <w:ind w:firstLine="284"/>
        <w:jc w:val="both"/>
        <w:rPr>
          <w:rFonts w:cs="Abz-2 (Badr)"/>
          <w:sz w:val="28"/>
          <w:szCs w:val="28"/>
          <w:rtl/>
          <w:lang w:bidi="fa-IR"/>
        </w:rPr>
      </w:pPr>
      <w:r w:rsidRPr="00E5073A">
        <w:rPr>
          <w:rFonts w:cs="Abz-2 (Badr)" w:hint="cs"/>
          <w:sz w:val="28"/>
          <w:szCs w:val="28"/>
          <w:rtl/>
          <w:lang w:bidi="fa-IR"/>
        </w:rPr>
        <w:t xml:space="preserve">ظاهر از اين کلام اين است که </w:t>
      </w:r>
      <w:r>
        <w:rPr>
          <w:rFonts w:cs="Abz-2 (Badr)" w:hint="cs"/>
          <w:sz w:val="28"/>
          <w:szCs w:val="28"/>
          <w:rtl/>
          <w:lang w:bidi="fa-IR"/>
        </w:rPr>
        <w:t>مادر حق اسقاط حق خود را دارد، اما اسقاط حق حضانت توسط پدر منوط بر اين است که مادر حضانت را بر عهده بگيرد، وگرنه پدر چنين حقی ندارد.</w:t>
      </w:r>
      <w:r w:rsidR="002310B4">
        <w:rPr>
          <w:rFonts w:cs="Abz-2 (Badr)"/>
          <w:sz w:val="28"/>
          <w:szCs w:val="28"/>
          <w:lang w:bidi="fa-IR"/>
        </w:rPr>
        <w:t xml:space="preserve">  </w:t>
      </w:r>
      <w:r w:rsidR="002310B4" w:rsidRPr="002310B4">
        <w:rPr>
          <w:rFonts w:cs="Abz-2 (Badr)"/>
          <w:sz w:val="28"/>
          <w:szCs w:val="28"/>
          <w:rtl/>
          <w:lang w:bidi="fa-IR"/>
        </w:rPr>
        <w:t>بررس</w:t>
      </w:r>
      <w:r w:rsidR="002310B4" w:rsidRPr="002310B4">
        <w:rPr>
          <w:rFonts w:cs="Abz-2 (Badr)" w:hint="cs"/>
          <w:sz w:val="28"/>
          <w:szCs w:val="28"/>
          <w:rtl/>
          <w:lang w:bidi="fa-IR"/>
        </w:rPr>
        <w:t>ی</w:t>
      </w:r>
      <w:r w:rsidR="002310B4" w:rsidRPr="002310B4">
        <w:rPr>
          <w:rFonts w:cs="Abz-2 (Badr)"/>
          <w:sz w:val="28"/>
          <w:szCs w:val="28"/>
          <w:rtl/>
          <w:lang w:bidi="fa-IR"/>
        </w:rPr>
        <w:t xml:space="preserve"> ادامه مسأله را به جلسه آينده موکول م</w:t>
      </w:r>
      <w:r w:rsidR="002310B4" w:rsidRPr="002310B4">
        <w:rPr>
          <w:rFonts w:cs="Abz-2 (Badr)" w:hint="cs"/>
          <w:sz w:val="28"/>
          <w:szCs w:val="28"/>
          <w:rtl/>
          <w:lang w:bidi="fa-IR"/>
        </w:rPr>
        <w:t>ی</w:t>
      </w:r>
      <w:r w:rsidR="002310B4" w:rsidRPr="002310B4">
        <w:rPr>
          <w:rFonts w:cs="Abz-2 (Badr)"/>
          <w:sz w:val="28"/>
          <w:szCs w:val="28"/>
          <w:rtl/>
          <w:lang w:bidi="fa-IR"/>
        </w:rPr>
        <w:t xml:space="preserve"> کن</w:t>
      </w:r>
      <w:r w:rsidR="002310B4" w:rsidRPr="002310B4">
        <w:rPr>
          <w:rFonts w:cs="Abz-2 (Badr)" w:hint="cs"/>
          <w:sz w:val="28"/>
          <w:szCs w:val="28"/>
          <w:rtl/>
          <w:lang w:bidi="fa-IR"/>
        </w:rPr>
        <w:t>ی</w:t>
      </w:r>
      <w:r w:rsidR="002310B4" w:rsidRPr="002310B4">
        <w:rPr>
          <w:rFonts w:cs="Abz-2 (Badr)" w:hint="eastAsia"/>
          <w:sz w:val="28"/>
          <w:szCs w:val="28"/>
          <w:rtl/>
          <w:lang w:bidi="fa-IR"/>
        </w:rPr>
        <w:t>م</w:t>
      </w:r>
      <w:r w:rsidR="002310B4" w:rsidRPr="002310B4">
        <w:rPr>
          <w:rFonts w:cs="Abz-2 (Badr)"/>
          <w:sz w:val="28"/>
          <w:szCs w:val="28"/>
          <w:rtl/>
          <w:lang w:bidi="fa-IR"/>
        </w:rPr>
        <w:t xml:space="preserve"> ان شاء الله.</w:t>
      </w:r>
    </w:p>
    <w:bookmarkEnd w:id="0"/>
    <w:p w14:paraId="358854CE" w14:textId="728BED45" w:rsidR="0027088A" w:rsidRPr="00680C0B" w:rsidRDefault="0027088A" w:rsidP="00680C0B"/>
    <w:sectPr w:rsidR="0027088A" w:rsidRPr="00680C0B" w:rsidSect="005A14A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2F9E" w14:textId="77777777" w:rsidR="00C90911" w:rsidRDefault="00C90911" w:rsidP="00F71127">
      <w:pPr>
        <w:spacing w:after="0" w:line="240" w:lineRule="auto"/>
      </w:pPr>
      <w:r>
        <w:separator/>
      </w:r>
    </w:p>
  </w:endnote>
  <w:endnote w:type="continuationSeparator" w:id="0">
    <w:p w14:paraId="72394712" w14:textId="77777777" w:rsidR="00C90911" w:rsidRDefault="00C90911"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2F2B9" w14:textId="77777777" w:rsidR="00680C0B" w:rsidRDefault="00680C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87541" w14:textId="77777777" w:rsidR="00680C0B" w:rsidRDefault="00680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77ED6" w14:textId="77777777" w:rsidR="00C90911" w:rsidRDefault="00C90911" w:rsidP="00EE25C0">
      <w:pPr>
        <w:bidi/>
        <w:spacing w:after="0" w:line="240" w:lineRule="auto"/>
      </w:pPr>
      <w:r>
        <w:separator/>
      </w:r>
    </w:p>
  </w:footnote>
  <w:footnote w:type="continuationSeparator" w:id="0">
    <w:p w14:paraId="216A838B" w14:textId="77777777" w:rsidR="00C90911" w:rsidRDefault="00C90911" w:rsidP="00F71127">
      <w:pPr>
        <w:bidi/>
        <w:spacing w:after="0" w:line="240" w:lineRule="auto"/>
      </w:pPr>
      <w:r>
        <w:continuationSeparator/>
      </w:r>
    </w:p>
  </w:footnote>
  <w:footnote w:id="1">
    <w:p w14:paraId="65EE70E3" w14:textId="77777777" w:rsidR="00680C0B" w:rsidRPr="005026FA" w:rsidRDefault="00680C0B" w:rsidP="00680C0B">
      <w:pPr>
        <w:widowControl w:val="0"/>
        <w:bidi/>
        <w:spacing w:after="0" w:line="266" w:lineRule="auto"/>
        <w:rPr>
          <w:rFonts w:cs="Abz-2 (Badr)"/>
          <w:rtl/>
          <w:lang w:bidi="fa-IR"/>
        </w:rPr>
      </w:pPr>
      <w:r w:rsidRPr="007B5643">
        <w:rPr>
          <w:rStyle w:val="FootnoteReference"/>
          <w:rFonts w:cs="Abz-2 (Badr)"/>
          <w:vertAlign w:val="baseline"/>
        </w:rPr>
        <w:footnoteRef/>
      </w:r>
      <w:r w:rsidRPr="00224B4E">
        <w:rPr>
          <w:rFonts w:cs="Abz-2 (Badr)"/>
        </w:rPr>
        <w:t xml:space="preserve"> </w:t>
      </w:r>
      <w:r>
        <w:rPr>
          <w:rFonts w:cs="Abz-2 (Badr)" w:hint="cs"/>
          <w:rtl/>
        </w:rPr>
        <w:t>ـ مسالك،ج8،ص425 و 426.</w:t>
      </w:r>
    </w:p>
  </w:footnote>
  <w:footnote w:id="2">
    <w:p w14:paraId="076D9DBE" w14:textId="77777777" w:rsidR="00680C0B" w:rsidRPr="007B5643" w:rsidRDefault="00680C0B" w:rsidP="00680C0B">
      <w:pPr>
        <w:widowControl w:val="0"/>
        <w:bidi/>
        <w:spacing w:after="0" w:line="266" w:lineRule="auto"/>
        <w:rPr>
          <w:rFonts w:cs="Abz-2 (Badr)"/>
          <w:rtl/>
          <w:lang w:bidi="fa-IR"/>
        </w:rPr>
      </w:pPr>
      <w:r w:rsidRPr="007B5643">
        <w:rPr>
          <w:rStyle w:val="FootnoteReference"/>
          <w:rFonts w:cs="Abz-2 (Badr)"/>
          <w:vertAlign w:val="baseline"/>
        </w:rPr>
        <w:footnoteRef/>
      </w:r>
      <w:r w:rsidRPr="007B5643">
        <w:rPr>
          <w:rFonts w:cs="Abz-2 (Badr)"/>
        </w:rPr>
        <w:t xml:space="preserve"> </w:t>
      </w:r>
      <w:r w:rsidRPr="007B5643">
        <w:rPr>
          <w:rFonts w:cs="Abz-2 (Badr)" w:hint="cs"/>
          <w:rtl/>
        </w:rPr>
        <w:t>ـ جواهر،ج31،ص293.</w:t>
      </w:r>
    </w:p>
  </w:footnote>
  <w:footnote w:id="3">
    <w:p w14:paraId="13493D5F" w14:textId="77777777" w:rsidR="00680C0B" w:rsidRPr="005026FA" w:rsidRDefault="00680C0B" w:rsidP="00680C0B">
      <w:pPr>
        <w:widowControl w:val="0"/>
        <w:bidi/>
        <w:spacing w:after="0" w:line="266" w:lineRule="auto"/>
        <w:rPr>
          <w:rFonts w:cs="Abz-2 (Badr)"/>
          <w:rtl/>
          <w:lang w:bidi="fa-IR"/>
        </w:rPr>
      </w:pPr>
      <w:r w:rsidRPr="007B5643">
        <w:rPr>
          <w:rStyle w:val="FootnoteReference"/>
          <w:rFonts w:cs="Abz-2 (Badr)"/>
          <w:vertAlign w:val="baseline"/>
        </w:rPr>
        <w:footnoteRef/>
      </w:r>
      <w:r w:rsidRPr="00224B4E">
        <w:rPr>
          <w:rFonts w:cs="Abz-2 (Badr)"/>
        </w:rPr>
        <w:t xml:space="preserve"> </w:t>
      </w:r>
      <w:r>
        <w:rPr>
          <w:rFonts w:cs="Abz-2 (Badr)" w:hint="cs"/>
          <w:rtl/>
        </w:rPr>
        <w:t>ـ همان،ص292.</w:t>
      </w:r>
    </w:p>
  </w:footnote>
  <w:footnote w:id="4">
    <w:p w14:paraId="7BC41397" w14:textId="77777777" w:rsidR="00680C0B" w:rsidRPr="005026FA" w:rsidRDefault="00680C0B" w:rsidP="00680C0B">
      <w:pPr>
        <w:widowControl w:val="0"/>
        <w:bidi/>
        <w:spacing w:after="0" w:line="266" w:lineRule="auto"/>
        <w:rPr>
          <w:rFonts w:cs="Abz-2 (Badr)"/>
          <w:rtl/>
          <w:lang w:bidi="fa-IR"/>
        </w:rPr>
      </w:pPr>
      <w:r w:rsidRPr="007B5643">
        <w:rPr>
          <w:rStyle w:val="FootnoteReference"/>
          <w:rFonts w:cs="Abz-2 (Badr)"/>
          <w:vertAlign w:val="baseline"/>
        </w:rPr>
        <w:footnoteRef/>
      </w:r>
      <w:r w:rsidRPr="00224B4E">
        <w:rPr>
          <w:rFonts w:cs="Abz-2 (Badr)"/>
        </w:rPr>
        <w:t xml:space="preserve"> </w:t>
      </w:r>
      <w:r>
        <w:rPr>
          <w:rFonts w:cs="Abz-2 (Badr)" w:hint="cs"/>
          <w:rtl/>
        </w:rPr>
        <w:t>ـ القواعد والفوائد،ج1،ص396.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C61E" w14:textId="77777777" w:rsidR="00680C0B" w:rsidRDefault="00680C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12883B99">
              <wp:simplePos x="0" y="0"/>
              <wp:positionH relativeFrom="column">
                <wp:posOffset>1652270</wp:posOffset>
              </wp:positionH>
              <wp:positionV relativeFrom="paragraph">
                <wp:posOffset>180975</wp:posOffset>
              </wp:positionV>
              <wp:extent cx="4427220" cy="20097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200977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1CD4ABF"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80C0B">
                            <w:rPr>
                              <w:rFonts w:cs="B Mehr" w:hint="cs"/>
                              <w:rtl/>
                              <w:lang w:bidi="fa-IR"/>
                            </w:rPr>
                            <w:t>یک</w:t>
                          </w:r>
                          <w:r>
                            <w:rPr>
                              <w:rFonts w:cs="B Mehr" w:hint="cs"/>
                              <w:rtl/>
                              <w:lang w:bidi="fa-IR"/>
                            </w:rPr>
                            <w:t xml:space="preserve">شنبه </w:t>
                          </w:r>
                          <w:r>
                            <w:rPr>
                              <w:rFonts w:cs="B Mehr" w:hint="cs"/>
                              <w:rtl/>
                            </w:rPr>
                            <w:t xml:space="preserve">،   </w:t>
                          </w:r>
                          <w:r w:rsidR="00680C0B">
                            <w:rPr>
                              <w:rFonts w:cs="B Mehr" w:hint="cs"/>
                              <w:rtl/>
                            </w:rPr>
                            <w:t>31</w:t>
                          </w:r>
                          <w:r>
                            <w:rPr>
                              <w:rFonts w:cs="B Mehr" w:hint="cs"/>
                              <w:rtl/>
                            </w:rPr>
                            <w:t xml:space="preserve">  فر</w:t>
                          </w:r>
                          <w:r>
                            <w:rPr>
                              <w:rFonts w:cs="B Mehr" w:hint="cs"/>
                              <w:rtl/>
                              <w:lang w:bidi="fa-IR"/>
                            </w:rPr>
                            <w:t>وردین</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30.1pt;margin-top:14.25pt;width:348.6pt;height:158.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1CD4ABF" w:rsidR="005D7224" w:rsidRDefault="005D7224" w:rsidP="005D7224">
                    <w:pPr>
                      <w:bidi/>
                    </w:pPr>
                    <w:r>
                      <w:rPr>
                        <w:rFonts w:cs="B Mehr" w:hint="cs"/>
                        <w:rtl/>
                      </w:rPr>
                      <w:t xml:space="preserve">تاریخ: </w:t>
                    </w:r>
                    <w:r>
                      <w:rPr>
                        <w:rFonts w:cs="B Mehr" w:hint="cs"/>
                        <w:lang w:bidi="fa-IR"/>
                      </w:rPr>
                      <w:t xml:space="preserve"> </w:t>
                    </w:r>
                    <w:r>
                      <w:rPr>
                        <w:rFonts w:cs="B Mehr" w:hint="cs"/>
                        <w:rtl/>
                        <w:lang w:bidi="fa-IR"/>
                      </w:rPr>
                      <w:t xml:space="preserve"> </w:t>
                    </w:r>
                    <w:r w:rsidR="00680C0B">
                      <w:rPr>
                        <w:rFonts w:cs="B Mehr" w:hint="cs"/>
                        <w:rtl/>
                        <w:lang w:bidi="fa-IR"/>
                      </w:rPr>
                      <w:t>یک</w:t>
                    </w:r>
                    <w:r>
                      <w:rPr>
                        <w:rFonts w:cs="B Mehr" w:hint="cs"/>
                        <w:rtl/>
                        <w:lang w:bidi="fa-IR"/>
                      </w:rPr>
                      <w:t xml:space="preserve">شنبه </w:t>
                    </w:r>
                    <w:r>
                      <w:rPr>
                        <w:rFonts w:cs="B Mehr" w:hint="cs"/>
                        <w:rtl/>
                      </w:rPr>
                      <w:t xml:space="preserve">،   </w:t>
                    </w:r>
                    <w:r w:rsidR="00680C0B">
                      <w:rPr>
                        <w:rFonts w:cs="B Mehr" w:hint="cs"/>
                        <w:rtl/>
                      </w:rPr>
                      <w:t>31</w:t>
                    </w:r>
                    <w:r>
                      <w:rPr>
                        <w:rFonts w:cs="B Mehr" w:hint="cs"/>
                        <w:rtl/>
                      </w:rPr>
                      <w:t xml:space="preserve">  فر</w:t>
                    </w:r>
                    <w:r>
                      <w:rPr>
                        <w:rFonts w:cs="B Mehr" w:hint="cs"/>
                        <w:rtl/>
                        <w:lang w:bidi="fa-IR"/>
                      </w:rPr>
                      <w:t>وردین</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54AF" w14:textId="77777777" w:rsidR="00680C0B" w:rsidRDefault="00680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0B4"/>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45A6"/>
    <w:rsid w:val="00554B94"/>
    <w:rsid w:val="00554D35"/>
    <w:rsid w:val="0055671F"/>
    <w:rsid w:val="00556729"/>
    <w:rsid w:val="00556776"/>
    <w:rsid w:val="005568E8"/>
    <w:rsid w:val="00557416"/>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122B"/>
    <w:rsid w:val="00A913AC"/>
    <w:rsid w:val="00A917B6"/>
    <w:rsid w:val="00A91B59"/>
    <w:rsid w:val="00A932BF"/>
    <w:rsid w:val="00A93D74"/>
    <w:rsid w:val="00A93E43"/>
    <w:rsid w:val="00A943A7"/>
    <w:rsid w:val="00A96A24"/>
    <w:rsid w:val="00A97C4F"/>
    <w:rsid w:val="00AA1271"/>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911"/>
    <w:rsid w:val="00C90C1E"/>
    <w:rsid w:val="00C90CD0"/>
    <w:rsid w:val="00C91047"/>
    <w:rsid w:val="00C91109"/>
    <w:rsid w:val="00C91343"/>
    <w:rsid w:val="00C917FD"/>
    <w:rsid w:val="00C91BB9"/>
    <w:rsid w:val="00C92A1D"/>
    <w:rsid w:val="00C9359C"/>
    <w:rsid w:val="00C94A9B"/>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21716</TotalTime>
  <Pages>1</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536</cp:revision>
  <cp:lastPrinted>2025-04-14T09:12:00Z</cp:lastPrinted>
  <dcterms:created xsi:type="dcterms:W3CDTF">2022-10-16T08:36:00Z</dcterms:created>
  <dcterms:modified xsi:type="dcterms:W3CDTF">2025-05-17T04:07:00Z</dcterms:modified>
</cp:coreProperties>
</file>